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B6942" w14:textId="77777777" w:rsidR="007D3780" w:rsidRPr="0014267B" w:rsidRDefault="007D3780" w:rsidP="007D3780">
      <w:pPr>
        <w:spacing w:before="0" w:after="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0" w:name="_GoBack"/>
      <w:bookmarkEnd w:id="0"/>
    </w:p>
    <w:p w14:paraId="3631F519" w14:textId="77777777" w:rsidR="007D3780" w:rsidRPr="0014267B" w:rsidRDefault="007D3780" w:rsidP="007D3780">
      <w:pPr>
        <w:spacing w:before="0" w:after="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42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CLIENT ADVISORY LETTER </w:t>
      </w:r>
      <w:r w:rsidRPr="001426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2016 - 04</w:t>
      </w:r>
      <w:r w:rsidRPr="00142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142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Pr="00142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Pr="00142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Pr="00142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Pr="00142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Pr="001426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 </w:t>
      </w:r>
    </w:p>
    <w:p w14:paraId="35949E0B" w14:textId="77777777" w:rsidR="007D3780" w:rsidRPr="0014267B" w:rsidRDefault="008A0BE4" w:rsidP="007D3780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1426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December </w:t>
      </w:r>
      <w:r w:rsidR="00374D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30</w:t>
      </w:r>
      <w:r w:rsidR="007D3780" w:rsidRPr="001426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, 2016</w:t>
      </w:r>
    </w:p>
    <w:p w14:paraId="217FDD4C" w14:textId="77777777" w:rsidR="007D3780" w:rsidRPr="0014267B" w:rsidRDefault="007D3780" w:rsidP="007D3780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41596328" w14:textId="77777777" w:rsidR="007D3780" w:rsidRPr="0014267B" w:rsidRDefault="007D3780" w:rsidP="007D3780">
      <w:pPr>
        <w:pStyle w:val="Heading1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7B">
        <w:rPr>
          <w:rFonts w:ascii="Times New Roman" w:hAnsi="Times New Roman" w:cs="Times New Roman"/>
          <w:b/>
          <w:caps w:val="0"/>
          <w:sz w:val="24"/>
          <w:szCs w:val="24"/>
        </w:rPr>
        <w:t>NRC GLOBAL RESPONSE SERVICES (GRS)</w:t>
      </w:r>
    </w:p>
    <w:p w14:paraId="1D3DD85D" w14:textId="77777777" w:rsidR="007D3780" w:rsidRPr="0014267B" w:rsidRDefault="007D3780" w:rsidP="00B01BA1">
      <w:pPr>
        <w:spacing w:before="0" w:after="0"/>
        <w:rPr>
          <w:rFonts w:ascii="Muli" w:hAnsi="Muli" w:cs="Helvetica" w:hint="eastAsia"/>
          <w:color w:val="2D2D2D"/>
          <w:sz w:val="24"/>
          <w:szCs w:val="24"/>
        </w:rPr>
      </w:pPr>
    </w:p>
    <w:p w14:paraId="68A231AA" w14:textId="77777777" w:rsidR="000D30B8" w:rsidRPr="009D112E" w:rsidRDefault="007D3780" w:rsidP="00B01BA1">
      <w:pPr>
        <w:pStyle w:val="BodyText"/>
        <w:spacing w:line="264" w:lineRule="auto"/>
        <w:jc w:val="both"/>
        <w:rPr>
          <w:color w:val="2D2D2D"/>
          <w:szCs w:val="24"/>
        </w:rPr>
      </w:pPr>
      <w:r w:rsidRPr="009D112E">
        <w:rPr>
          <w:color w:val="2D2D2D"/>
          <w:szCs w:val="24"/>
        </w:rPr>
        <w:t xml:space="preserve">NRC is pleased to announce the </w:t>
      </w:r>
      <w:r w:rsidRPr="009D112E">
        <w:rPr>
          <w:iCs/>
          <w:color w:val="2D2D2D"/>
          <w:szCs w:val="24"/>
        </w:rPr>
        <w:t>expansion</w:t>
      </w:r>
      <w:r w:rsidRPr="009D112E">
        <w:rPr>
          <w:color w:val="2D2D2D"/>
          <w:szCs w:val="24"/>
        </w:rPr>
        <w:t xml:space="preserve"> of our </w:t>
      </w:r>
      <w:r w:rsidR="000D30B8" w:rsidRPr="009D112E">
        <w:rPr>
          <w:color w:val="2D2D2D"/>
          <w:szCs w:val="24"/>
        </w:rPr>
        <w:t>Global Response Services</w:t>
      </w:r>
      <w:r w:rsidR="005E0A67" w:rsidRPr="009D112E">
        <w:rPr>
          <w:color w:val="2D2D2D"/>
          <w:szCs w:val="24"/>
        </w:rPr>
        <w:t xml:space="preserve"> (GRS)</w:t>
      </w:r>
      <w:r w:rsidR="000D30B8" w:rsidRPr="009D112E">
        <w:rPr>
          <w:color w:val="2D2D2D"/>
          <w:szCs w:val="24"/>
        </w:rPr>
        <w:t xml:space="preserve"> effective as of January 1, 201</w:t>
      </w:r>
      <w:r w:rsidR="00305632" w:rsidRPr="009D112E">
        <w:rPr>
          <w:color w:val="2D2D2D"/>
          <w:szCs w:val="24"/>
        </w:rPr>
        <w:t>7</w:t>
      </w:r>
      <w:r w:rsidR="000D30B8" w:rsidRPr="009D112E">
        <w:rPr>
          <w:color w:val="2D2D2D"/>
          <w:szCs w:val="24"/>
        </w:rPr>
        <w:t xml:space="preserve">.  To complement our extensive </w:t>
      </w:r>
      <w:r w:rsidR="0099121B" w:rsidRPr="009D112E">
        <w:rPr>
          <w:color w:val="2D2D2D"/>
          <w:szCs w:val="24"/>
        </w:rPr>
        <w:t xml:space="preserve">Oil Spill Removal Organization (OSRO) services provided to </w:t>
      </w:r>
      <w:r w:rsidR="00643C9C" w:rsidRPr="009D112E">
        <w:rPr>
          <w:color w:val="2D2D2D"/>
          <w:szCs w:val="24"/>
        </w:rPr>
        <w:t>NRC</w:t>
      </w:r>
      <w:r w:rsidR="0099121B" w:rsidRPr="009D112E">
        <w:rPr>
          <w:color w:val="2D2D2D"/>
          <w:szCs w:val="24"/>
        </w:rPr>
        <w:t xml:space="preserve"> clients in the U.S., NRC will now extend oil spill emergency response</w:t>
      </w:r>
      <w:r w:rsidR="00B1796D" w:rsidRPr="009D112E">
        <w:rPr>
          <w:color w:val="2D2D2D"/>
          <w:szCs w:val="24"/>
        </w:rPr>
        <w:t xml:space="preserve"> coverage</w:t>
      </w:r>
      <w:r w:rsidR="0099121B" w:rsidRPr="009D112E">
        <w:rPr>
          <w:color w:val="2D2D2D"/>
          <w:szCs w:val="24"/>
        </w:rPr>
        <w:t xml:space="preserve"> to our Tank and Non-tank vessel clients on a global basis.    </w:t>
      </w:r>
    </w:p>
    <w:p w14:paraId="31582458" w14:textId="77777777" w:rsidR="00E22A1F" w:rsidRPr="0014267B" w:rsidRDefault="00E22A1F" w:rsidP="00B01BA1">
      <w:pPr>
        <w:pStyle w:val="BodyText"/>
        <w:spacing w:line="264" w:lineRule="auto"/>
        <w:jc w:val="both"/>
        <w:rPr>
          <w:color w:val="2D2D2D"/>
          <w:szCs w:val="24"/>
        </w:rPr>
      </w:pPr>
    </w:p>
    <w:p w14:paraId="1D7718CA" w14:textId="3655B8A4" w:rsidR="0036488E" w:rsidRPr="0014267B" w:rsidRDefault="008D4F8D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4267B">
        <w:rPr>
          <w:rFonts w:ascii="Times New Roman" w:hAnsi="Times New Roman" w:cs="Times New Roman"/>
          <w:color w:val="2D2D2D"/>
          <w:sz w:val="24"/>
          <w:szCs w:val="24"/>
        </w:rPr>
        <w:t>For 25 years</w:t>
      </w:r>
      <w:r w:rsidR="00B1796D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, NRC has been providing a broad range of environmental cleanup solutions </w:t>
      </w:r>
      <w:r w:rsidR="00E9307F" w:rsidRPr="0014267B">
        <w:rPr>
          <w:rFonts w:ascii="Times New Roman" w:hAnsi="Times New Roman" w:cs="Times New Roman"/>
          <w:color w:val="2D2D2D"/>
          <w:sz w:val="24"/>
          <w:szCs w:val="24"/>
        </w:rPr>
        <w:t>for our clients.  When the Oil Pollution Act of 1990 (OPA 90)</w:t>
      </w:r>
      <w:r w:rsidR="00B1796D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E9307F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was passed, NRC </w:t>
      </w:r>
      <w:r w:rsidR="00105848" w:rsidRPr="0014267B">
        <w:rPr>
          <w:rFonts w:ascii="Times New Roman" w:hAnsi="Times New Roman" w:cs="Times New Roman"/>
          <w:color w:val="2D2D2D"/>
          <w:sz w:val="24"/>
          <w:szCs w:val="24"/>
        </w:rPr>
        <w:t>introduced cost effective oil spill response compliance to the</w:t>
      </w:r>
      <w:r w:rsidR="00291505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U.S. regulatory compliance </w:t>
      </w:r>
      <w:r w:rsidR="00105848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market. </w:t>
      </w:r>
      <w:r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5E0A67" w:rsidRPr="0014267B">
        <w:rPr>
          <w:rFonts w:ascii="Times New Roman" w:hAnsi="Times New Roman" w:cs="Times New Roman"/>
          <w:color w:val="2D2D2D"/>
          <w:sz w:val="24"/>
          <w:szCs w:val="24"/>
        </w:rPr>
        <w:t>Over the years</w:t>
      </w:r>
      <w:r w:rsidR="00105848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A0BE4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we have greatly expanded </w:t>
      </w:r>
      <w:r w:rsidR="00437585" w:rsidRPr="0014267B">
        <w:rPr>
          <w:rFonts w:ascii="Times New Roman" w:hAnsi="Times New Roman" w:cs="Times New Roman"/>
          <w:color w:val="2D2D2D"/>
          <w:sz w:val="24"/>
          <w:szCs w:val="24"/>
        </w:rPr>
        <w:t>our</w:t>
      </w:r>
      <w:r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worldwide services</w:t>
      </w:r>
      <w:r w:rsidR="0014267B">
        <w:rPr>
          <w:rFonts w:ascii="Times New Roman" w:hAnsi="Times New Roman" w:cs="Times New Roman"/>
          <w:color w:val="2D2D2D"/>
          <w:sz w:val="24"/>
          <w:szCs w:val="24"/>
        </w:rPr>
        <w:t>.  T</w:t>
      </w:r>
      <w:r w:rsidR="005E0A67" w:rsidRPr="0014267B">
        <w:rPr>
          <w:rFonts w:ascii="Times New Roman" w:hAnsi="Times New Roman" w:cs="Times New Roman"/>
          <w:color w:val="2D2D2D"/>
          <w:sz w:val="24"/>
          <w:szCs w:val="24"/>
        </w:rPr>
        <w:t>hrough a strategic growth</w:t>
      </w:r>
      <w:r w:rsidR="00291505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plan</w:t>
      </w:r>
      <w:r w:rsidR="00E74F58">
        <w:rPr>
          <w:rFonts w:ascii="Times New Roman" w:hAnsi="Times New Roman" w:cs="Times New Roman"/>
          <w:color w:val="2D2D2D"/>
          <w:sz w:val="24"/>
          <w:szCs w:val="24"/>
        </w:rPr>
        <w:t>,</w:t>
      </w:r>
      <w:r w:rsidR="008A0BE4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DD3855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we are now </w:t>
      </w:r>
      <w:r w:rsidR="008A0BE4" w:rsidRPr="0014267B">
        <w:rPr>
          <w:rFonts w:ascii="Times New Roman" w:hAnsi="Times New Roman" w:cs="Times New Roman"/>
          <w:color w:val="2D2D2D"/>
          <w:sz w:val="24"/>
          <w:szCs w:val="24"/>
        </w:rPr>
        <w:t>operating in 1</w:t>
      </w:r>
      <w:r w:rsidR="005021E9">
        <w:rPr>
          <w:rFonts w:ascii="Times New Roman" w:hAnsi="Times New Roman" w:cs="Times New Roman"/>
          <w:color w:val="2D2D2D"/>
          <w:sz w:val="24"/>
          <w:szCs w:val="24"/>
        </w:rPr>
        <w:t>4</w:t>
      </w:r>
      <w:r w:rsidR="008A0BE4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countries</w:t>
      </w:r>
      <w:r w:rsidR="00DD3855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and</w:t>
      </w:r>
      <w:r w:rsidR="005E0A67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we have</w:t>
      </w:r>
      <w:r w:rsidR="00437585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proudly</w:t>
      </w:r>
      <w:r w:rsidR="005E0A67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4267B">
        <w:rPr>
          <w:rFonts w:ascii="Times New Roman" w:hAnsi="Times New Roman" w:cs="Times New Roman"/>
          <w:color w:val="2D2D2D"/>
          <w:sz w:val="24"/>
          <w:szCs w:val="24"/>
        </w:rPr>
        <w:t>become</w:t>
      </w:r>
      <w:r w:rsidR="0036488E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one of the world’s </w:t>
      </w:r>
      <w:r w:rsidRPr="0014267B">
        <w:rPr>
          <w:rFonts w:ascii="Times New Roman" w:hAnsi="Times New Roman" w:cs="Times New Roman"/>
          <w:color w:val="2D2D2D"/>
          <w:sz w:val="24"/>
          <w:szCs w:val="24"/>
        </w:rPr>
        <w:t>leading</w:t>
      </w:r>
      <w:r w:rsidR="0036488E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providers of spill and high hazard response solutions servicing the worldwide</w:t>
      </w:r>
      <w:r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shipping,</w:t>
      </w:r>
      <w:r w:rsidR="0036488E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oil</w:t>
      </w:r>
      <w:r w:rsidRPr="0014267B">
        <w:rPr>
          <w:rFonts w:ascii="Times New Roman" w:hAnsi="Times New Roman" w:cs="Times New Roman"/>
          <w:color w:val="2D2D2D"/>
          <w:sz w:val="24"/>
          <w:szCs w:val="24"/>
        </w:rPr>
        <w:t>,</w:t>
      </w:r>
      <w:r w:rsidR="0036488E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and gas industr</w:t>
      </w:r>
      <w:r w:rsidR="005E0A67" w:rsidRPr="0014267B">
        <w:rPr>
          <w:rFonts w:ascii="Times New Roman" w:hAnsi="Times New Roman" w:cs="Times New Roman"/>
          <w:color w:val="2D2D2D"/>
          <w:sz w:val="24"/>
          <w:szCs w:val="24"/>
        </w:rPr>
        <w:t>ies</w:t>
      </w:r>
      <w:r w:rsidR="0036488E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.  </w:t>
      </w:r>
    </w:p>
    <w:p w14:paraId="7CFEC888" w14:textId="77777777" w:rsidR="0036488E" w:rsidRPr="0014267B" w:rsidRDefault="0036488E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556010BA" w14:textId="40EFED46" w:rsidR="00DC1473" w:rsidRPr="0014267B" w:rsidRDefault="00437585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4267B">
        <w:rPr>
          <w:rFonts w:ascii="Times New Roman" w:hAnsi="Times New Roman" w:cs="Times New Roman"/>
          <w:color w:val="2D2D2D"/>
          <w:sz w:val="24"/>
          <w:szCs w:val="24"/>
        </w:rPr>
        <w:t>With the growth of our</w:t>
      </w:r>
      <w:r w:rsidR="008D4F8D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global </w:t>
      </w:r>
      <w:r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presence and our proven </w:t>
      </w:r>
      <w:r w:rsidR="008D4F8D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expertise </w:t>
      </w:r>
      <w:r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in </w:t>
      </w:r>
      <w:r w:rsidR="0086134B">
        <w:rPr>
          <w:rFonts w:ascii="Times New Roman" w:hAnsi="Times New Roman" w:cs="Times New Roman"/>
          <w:color w:val="2D2D2D"/>
          <w:sz w:val="24"/>
          <w:szCs w:val="24"/>
        </w:rPr>
        <w:t xml:space="preserve">responding to </w:t>
      </w:r>
      <w:r w:rsidR="005E0A67" w:rsidRPr="0014267B">
        <w:rPr>
          <w:rFonts w:ascii="Times New Roman" w:hAnsi="Times New Roman" w:cs="Times New Roman"/>
          <w:color w:val="2D2D2D"/>
          <w:sz w:val="24"/>
          <w:szCs w:val="24"/>
        </w:rPr>
        <w:t>environmental incident</w:t>
      </w:r>
      <w:r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s, we are extending GRS services as part of our annual retainer program.  </w:t>
      </w:r>
      <w:r w:rsidR="00291505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As a new </w:t>
      </w:r>
      <w:r w:rsidR="008A0BE4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optional </w:t>
      </w:r>
      <w:r w:rsidR="00291505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service offering for 2017, the Global Response Services (GRS) program will </w:t>
      </w:r>
      <w:r w:rsidR="0086134B">
        <w:rPr>
          <w:rFonts w:ascii="Times New Roman" w:hAnsi="Times New Roman" w:cs="Times New Roman"/>
          <w:color w:val="2D2D2D"/>
          <w:sz w:val="24"/>
          <w:szCs w:val="24"/>
        </w:rPr>
        <w:t>provide</w:t>
      </w:r>
      <w:r w:rsidR="0086134B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291505" w:rsidRPr="0014267B">
        <w:rPr>
          <w:rFonts w:ascii="Times New Roman" w:hAnsi="Times New Roman" w:cs="Times New Roman"/>
          <w:color w:val="2D2D2D"/>
          <w:sz w:val="24"/>
          <w:szCs w:val="24"/>
        </w:rPr>
        <w:t>your company with the highest level of response services and expertise while maintaining coverage under a P&amp;I Club conforming contract globally.</w:t>
      </w:r>
      <w:r w:rsidR="00DC1473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 Please note our GRS International Amendment has been reviewed by the International Group of P&amp;I Clubs (IG) and conforms with the IG’s guidelines for vessel response plans.  </w:t>
      </w:r>
      <w:r w:rsidR="00291505" w:rsidRPr="0014267B">
        <w:rPr>
          <w:rFonts w:ascii="Times New Roman" w:hAnsi="Times New Roman" w:cs="Times New Roman"/>
          <w:color w:val="2D2D2D"/>
          <w:sz w:val="24"/>
          <w:szCs w:val="24"/>
        </w:rPr>
        <w:t xml:space="preserve">  </w:t>
      </w:r>
    </w:p>
    <w:p w14:paraId="616E8B35" w14:textId="77777777" w:rsidR="00DC1473" w:rsidRPr="0014267B" w:rsidRDefault="00DC1473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68DF4FB6" w14:textId="5BAD789A" w:rsidR="00E83451" w:rsidRDefault="00437585" w:rsidP="00B01BA1">
      <w:pPr>
        <w:pStyle w:val="s13"/>
        <w:spacing w:before="0" w:beforeAutospacing="0" w:after="0" w:afterAutospacing="0" w:line="264" w:lineRule="auto"/>
        <w:jc w:val="both"/>
        <w:rPr>
          <w:rFonts w:eastAsiaTheme="minorEastAsia"/>
          <w:color w:val="2D2D2D"/>
          <w:lang w:eastAsia="ja-JP"/>
        </w:rPr>
      </w:pPr>
      <w:r w:rsidRPr="0014267B">
        <w:rPr>
          <w:color w:val="2D2D2D"/>
        </w:rPr>
        <w:t xml:space="preserve">The attached </w:t>
      </w:r>
      <w:r w:rsidR="008A0BE4" w:rsidRPr="0014267B">
        <w:rPr>
          <w:color w:val="2D2D2D"/>
        </w:rPr>
        <w:t xml:space="preserve">International </w:t>
      </w:r>
      <w:r w:rsidRPr="0014267B">
        <w:rPr>
          <w:color w:val="2D2D2D"/>
        </w:rPr>
        <w:t>Amendment will add GRS coverage to your existing Agreement for Provision of Response Resources (OPA</w:t>
      </w:r>
      <w:r w:rsidR="00F338B3">
        <w:rPr>
          <w:color w:val="2D2D2D"/>
        </w:rPr>
        <w:t>’</w:t>
      </w:r>
      <w:r w:rsidRPr="0014267B">
        <w:rPr>
          <w:color w:val="2D2D2D"/>
        </w:rPr>
        <w:t>90 service contract).</w:t>
      </w:r>
      <w:r w:rsidR="00DC1473" w:rsidRPr="0014267B">
        <w:rPr>
          <w:color w:val="2D2D2D"/>
        </w:rPr>
        <w:t xml:space="preserve">  As part of our GRS worldwide response coverage</w:t>
      </w:r>
      <w:r w:rsidR="0014267B">
        <w:rPr>
          <w:color w:val="2D2D2D"/>
        </w:rPr>
        <w:t xml:space="preserve"> program</w:t>
      </w:r>
      <w:r w:rsidR="00F16340" w:rsidRPr="0014267B">
        <w:rPr>
          <w:color w:val="2D2D2D"/>
        </w:rPr>
        <w:t xml:space="preserve">, </w:t>
      </w:r>
      <w:r w:rsidR="00DC1473" w:rsidRPr="0014267B">
        <w:rPr>
          <w:color w:val="2D2D2D"/>
        </w:rPr>
        <w:t xml:space="preserve">a </w:t>
      </w:r>
      <w:r w:rsidR="000823D9">
        <w:rPr>
          <w:color w:val="2D2D2D"/>
        </w:rPr>
        <w:t xml:space="preserve">nominal </w:t>
      </w:r>
      <w:r w:rsidR="00DC1473" w:rsidRPr="0014267B">
        <w:rPr>
          <w:color w:val="2D2D2D"/>
        </w:rPr>
        <w:t xml:space="preserve">annual </w:t>
      </w:r>
      <w:r w:rsidR="00F16340" w:rsidRPr="005021E9">
        <w:rPr>
          <w:color w:val="2D2D2D"/>
          <w:u w:val="single"/>
        </w:rPr>
        <w:t>fleet</w:t>
      </w:r>
      <w:r w:rsidR="00F16340" w:rsidRPr="0014267B">
        <w:rPr>
          <w:color w:val="2D2D2D"/>
        </w:rPr>
        <w:t xml:space="preserve"> coverage </w:t>
      </w:r>
      <w:r w:rsidR="00DC1473" w:rsidRPr="0014267B">
        <w:rPr>
          <w:color w:val="2D2D2D"/>
        </w:rPr>
        <w:t>fee</w:t>
      </w:r>
      <w:r w:rsidR="00305632" w:rsidRPr="0014267B">
        <w:rPr>
          <w:color w:val="2D2D2D"/>
        </w:rPr>
        <w:t xml:space="preserve"> ranging from </w:t>
      </w:r>
      <w:r w:rsidR="00DC1473" w:rsidRPr="00374D95">
        <w:rPr>
          <w:color w:val="2D2D2D"/>
        </w:rPr>
        <w:t>$</w:t>
      </w:r>
      <w:r w:rsidR="00CB2632" w:rsidRPr="00374D95">
        <w:rPr>
          <w:color w:val="2D2D2D"/>
        </w:rPr>
        <w:t>4</w:t>
      </w:r>
      <w:r w:rsidR="00DC1473" w:rsidRPr="00374D95">
        <w:rPr>
          <w:color w:val="2D2D2D"/>
        </w:rPr>
        <w:t>50</w:t>
      </w:r>
      <w:r w:rsidR="00305632" w:rsidRPr="00374D95">
        <w:rPr>
          <w:color w:val="2D2D2D"/>
        </w:rPr>
        <w:t xml:space="preserve"> to</w:t>
      </w:r>
      <w:r w:rsidR="00DC1473" w:rsidRPr="00374D95">
        <w:rPr>
          <w:color w:val="2D2D2D"/>
        </w:rPr>
        <w:t xml:space="preserve"> $1</w:t>
      </w:r>
      <w:r w:rsidR="00374D95" w:rsidRPr="00374D95">
        <w:rPr>
          <w:color w:val="2D2D2D"/>
        </w:rPr>
        <w:t>5</w:t>
      </w:r>
      <w:r w:rsidR="00DC1473" w:rsidRPr="00374D95">
        <w:rPr>
          <w:color w:val="2D2D2D"/>
        </w:rPr>
        <w:t>00</w:t>
      </w:r>
      <w:r w:rsidR="00D864CF">
        <w:rPr>
          <w:color w:val="2D2D2D"/>
        </w:rPr>
        <w:t>, which</w:t>
      </w:r>
      <w:r w:rsidR="00305632" w:rsidRPr="0014267B">
        <w:rPr>
          <w:color w:val="2D2D2D"/>
        </w:rPr>
        <w:t xml:space="preserve"> </w:t>
      </w:r>
      <w:r w:rsidR="000823D9">
        <w:rPr>
          <w:color w:val="2D2D2D"/>
        </w:rPr>
        <w:t xml:space="preserve">will cover your </w:t>
      </w:r>
      <w:r w:rsidR="000823D9" w:rsidRPr="008952EA">
        <w:rPr>
          <w:color w:val="2D2D2D"/>
        </w:rPr>
        <w:t xml:space="preserve">entire </w:t>
      </w:r>
      <w:r w:rsidR="00305632" w:rsidRPr="0014267B">
        <w:rPr>
          <w:color w:val="2D2D2D"/>
        </w:rPr>
        <w:t xml:space="preserve">Non-tank or Tank vessel </w:t>
      </w:r>
      <w:r w:rsidR="00305632" w:rsidRPr="008952EA">
        <w:rPr>
          <w:color w:val="2D2D2D"/>
        </w:rPr>
        <w:t>fleets</w:t>
      </w:r>
      <w:r w:rsidR="00305632" w:rsidRPr="0014267B">
        <w:rPr>
          <w:color w:val="2D2D2D"/>
        </w:rPr>
        <w:t>,</w:t>
      </w:r>
      <w:r w:rsidR="00DC1473" w:rsidRPr="0014267B">
        <w:rPr>
          <w:color w:val="2D2D2D"/>
        </w:rPr>
        <w:t xml:space="preserve"> </w:t>
      </w:r>
      <w:r w:rsidR="00DC1473" w:rsidRPr="00374D95">
        <w:rPr>
          <w:color w:val="2D2D2D"/>
        </w:rPr>
        <w:t xml:space="preserve">will be applied to your </w:t>
      </w:r>
      <w:r w:rsidR="00305632" w:rsidRPr="00374D95">
        <w:rPr>
          <w:color w:val="2D2D2D"/>
        </w:rPr>
        <w:t>contract</w:t>
      </w:r>
      <w:r w:rsidR="00DC1473" w:rsidRPr="00374D95">
        <w:rPr>
          <w:color w:val="2D2D2D"/>
        </w:rPr>
        <w:t xml:space="preserve"> and re</w:t>
      </w:r>
      <w:r w:rsidR="00E83451" w:rsidRPr="00374D95">
        <w:rPr>
          <w:color w:val="2D2D2D"/>
        </w:rPr>
        <w:t xml:space="preserve">flected on your annual Schedule </w:t>
      </w:r>
      <w:r w:rsidR="00DC1473" w:rsidRPr="00374D95">
        <w:rPr>
          <w:color w:val="2D2D2D"/>
        </w:rPr>
        <w:t xml:space="preserve">3.  </w:t>
      </w:r>
      <w:r w:rsidR="008952EA">
        <w:rPr>
          <w:color w:val="2D2D2D"/>
        </w:rPr>
        <w:t>A n</w:t>
      </w:r>
      <w:r w:rsidR="00A93E43">
        <w:rPr>
          <w:color w:val="2D2D2D"/>
        </w:rPr>
        <w:t xml:space="preserve">egative reply </w:t>
      </w:r>
      <w:r w:rsidR="008952EA">
        <w:rPr>
          <w:color w:val="2D2D2D"/>
        </w:rPr>
        <w:t xml:space="preserve">is </w:t>
      </w:r>
      <w:r w:rsidR="00A93E43">
        <w:rPr>
          <w:color w:val="2D2D2D"/>
        </w:rPr>
        <w:t>required</w:t>
      </w:r>
      <w:r w:rsidR="00DC1473" w:rsidRPr="00374D95">
        <w:rPr>
          <w:color w:val="2D2D2D"/>
        </w:rPr>
        <w:t xml:space="preserve"> if you choose not to </w:t>
      </w:r>
      <w:r w:rsidR="001C58BE">
        <w:rPr>
          <w:color w:val="2D2D2D"/>
        </w:rPr>
        <w:t>participate</w:t>
      </w:r>
      <w:r w:rsidR="00DC1473" w:rsidRPr="00374D95">
        <w:rPr>
          <w:color w:val="2D2D2D"/>
        </w:rPr>
        <w:t xml:space="preserve"> in the GRS value-added</w:t>
      </w:r>
      <w:r w:rsidR="00305632" w:rsidRPr="00374D95">
        <w:rPr>
          <w:color w:val="2D2D2D"/>
        </w:rPr>
        <w:t xml:space="preserve"> </w:t>
      </w:r>
      <w:r w:rsidR="00DC1473" w:rsidRPr="00374D95">
        <w:rPr>
          <w:color w:val="2D2D2D"/>
        </w:rPr>
        <w:t>service program.</w:t>
      </w:r>
      <w:r w:rsidR="00DC1473" w:rsidRPr="0014267B">
        <w:rPr>
          <w:rFonts w:eastAsiaTheme="minorEastAsia"/>
          <w:color w:val="2D2D2D"/>
          <w:lang w:eastAsia="ja-JP"/>
        </w:rPr>
        <w:t xml:space="preserve">  </w:t>
      </w:r>
    </w:p>
    <w:p w14:paraId="5A01E2B1" w14:textId="77777777" w:rsidR="000823D9" w:rsidRPr="0014267B" w:rsidRDefault="000823D9" w:rsidP="00B01BA1">
      <w:pPr>
        <w:pStyle w:val="s13"/>
        <w:spacing w:before="0" w:beforeAutospacing="0" w:after="0" w:afterAutospacing="0" w:line="264" w:lineRule="auto"/>
        <w:jc w:val="both"/>
        <w:rPr>
          <w:color w:val="2D2D2D"/>
        </w:rPr>
      </w:pPr>
    </w:p>
    <w:tbl>
      <w:tblPr>
        <w:tblW w:w="5040" w:type="dxa"/>
        <w:jc w:val="center"/>
        <w:tblLook w:val="04A0" w:firstRow="1" w:lastRow="0" w:firstColumn="1" w:lastColumn="0" w:noHBand="0" w:noVBand="1"/>
      </w:tblPr>
      <w:tblGrid>
        <w:gridCol w:w="2016"/>
        <w:gridCol w:w="1802"/>
        <w:gridCol w:w="2232"/>
      </w:tblGrid>
      <w:tr w:rsidR="0036446C" w:rsidRPr="00374D95" w14:paraId="18C2C75C" w14:textId="77777777" w:rsidTr="00374D95">
        <w:trPr>
          <w:trHeight w:val="31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5627785" w14:textId="77777777" w:rsidR="0036446C" w:rsidRPr="00374D95" w:rsidRDefault="0036446C" w:rsidP="00B01BA1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Fleet Type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D8FED46" w14:textId="77777777" w:rsidR="0036446C" w:rsidRPr="00374D95" w:rsidRDefault="0036446C" w:rsidP="00B01B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Fleet Size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8E8CF8" w14:textId="77777777" w:rsidR="0036446C" w:rsidRPr="00374D95" w:rsidRDefault="0036446C" w:rsidP="00B01B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Fleet Rate</w:t>
            </w:r>
            <w:r w:rsidR="00374D95" w:rsidRPr="00374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(USD)</w:t>
            </w:r>
          </w:p>
        </w:tc>
      </w:tr>
      <w:tr w:rsidR="00E83451" w:rsidRPr="00374D95" w14:paraId="1ED258CA" w14:textId="77777777" w:rsidTr="00374D95">
        <w:trPr>
          <w:trHeight w:val="317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CFEB" w14:textId="77777777" w:rsidR="00E83451" w:rsidRPr="00374D95" w:rsidRDefault="00E83451" w:rsidP="00B01BA1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Non-Tank Vessel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664" w14:textId="77777777" w:rsidR="00E83451" w:rsidRPr="00374D95" w:rsidRDefault="00E83451" w:rsidP="00B01B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 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0C3" w14:textId="77777777" w:rsidR="00E83451" w:rsidRPr="00374D95" w:rsidRDefault="00E83451" w:rsidP="00B01BA1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$                         450 </w:t>
            </w:r>
          </w:p>
        </w:tc>
      </w:tr>
      <w:tr w:rsidR="00E83451" w:rsidRPr="00374D95" w14:paraId="019BD40D" w14:textId="77777777" w:rsidTr="00374D95">
        <w:trPr>
          <w:trHeight w:val="317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0FF5" w14:textId="77777777" w:rsidR="00E83451" w:rsidRPr="00374D95" w:rsidRDefault="00E83451" w:rsidP="00B01BA1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Non-Tank Vessel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E3ED" w14:textId="77777777" w:rsidR="00E83451" w:rsidRPr="00374D95" w:rsidRDefault="00E83451" w:rsidP="00B01B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5 - 10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E3C" w14:textId="77777777" w:rsidR="00E83451" w:rsidRPr="00374D95" w:rsidRDefault="00E83451" w:rsidP="00B01BA1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$                        </w:t>
            </w:r>
            <w:r w:rsidR="00261B36"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374D95"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675</w:t>
            </w:r>
          </w:p>
        </w:tc>
      </w:tr>
      <w:tr w:rsidR="00E83451" w:rsidRPr="00374D95" w14:paraId="25ECF2C1" w14:textId="77777777" w:rsidTr="00374D95">
        <w:trPr>
          <w:trHeight w:val="317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9871" w14:textId="77777777" w:rsidR="00E83451" w:rsidRPr="00374D95" w:rsidRDefault="00E83451" w:rsidP="00B01BA1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Non-Tank Vessel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EF6DB" w14:textId="77777777" w:rsidR="00E83451" w:rsidRPr="00374D95" w:rsidRDefault="00E83451" w:rsidP="00B01B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="00374D95"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+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D94B" w14:textId="77777777" w:rsidR="00E83451" w:rsidRPr="00374D95" w:rsidRDefault="00E83451" w:rsidP="00B01BA1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$                     </w:t>
            </w:r>
            <w:r w:rsidR="00374D95"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r w:rsidR="00374D95"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975</w:t>
            </w: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36446C" w:rsidRPr="00374D95" w14:paraId="5568C693" w14:textId="77777777" w:rsidTr="00374D95">
        <w:trPr>
          <w:trHeight w:val="317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AE28" w14:textId="77777777" w:rsidR="0036446C" w:rsidRPr="00374D95" w:rsidRDefault="0036446C" w:rsidP="00B01BA1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Tank Vessel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F86A" w14:textId="77777777" w:rsidR="0036446C" w:rsidRPr="00374D95" w:rsidRDefault="0036446C" w:rsidP="00B01B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 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EA13" w14:textId="77777777" w:rsidR="0036446C" w:rsidRPr="00374D95" w:rsidRDefault="0036446C" w:rsidP="00B01BA1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$                         </w:t>
            </w:r>
            <w:r w:rsidR="00374D95"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975</w:t>
            </w:r>
          </w:p>
        </w:tc>
      </w:tr>
      <w:tr w:rsidR="0036446C" w:rsidRPr="00374D95" w14:paraId="6F1CD9D6" w14:textId="77777777" w:rsidTr="00374D95">
        <w:trPr>
          <w:trHeight w:val="317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CFFE" w14:textId="77777777" w:rsidR="0036446C" w:rsidRPr="00374D95" w:rsidRDefault="0036446C" w:rsidP="00B01BA1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Tank Vessel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0DE7" w14:textId="77777777" w:rsidR="0036446C" w:rsidRPr="00374D95" w:rsidRDefault="0036446C" w:rsidP="00B01B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5 - 10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D76" w14:textId="77777777" w:rsidR="0036446C" w:rsidRPr="00374D95" w:rsidRDefault="0036446C" w:rsidP="00B01BA1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$                      </w:t>
            </w:r>
            <w:r w:rsidR="00374D95"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1,250</w:t>
            </w: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36446C" w:rsidRPr="00C0517F" w14:paraId="35267A9D" w14:textId="77777777" w:rsidTr="00374D95">
        <w:trPr>
          <w:trHeight w:val="317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DC01" w14:textId="77777777" w:rsidR="0036446C" w:rsidRPr="00374D95" w:rsidRDefault="0036446C" w:rsidP="00B01BA1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Tank Vessel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DF68C" w14:textId="77777777" w:rsidR="0036446C" w:rsidRPr="00374D95" w:rsidRDefault="0036446C" w:rsidP="00B01B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="00374D95"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+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06B7" w14:textId="77777777" w:rsidR="0036446C" w:rsidRPr="00374D95" w:rsidRDefault="0036446C" w:rsidP="00B01BA1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$                     </w:t>
            </w:r>
            <w:r w:rsidR="00C0517F"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1,</w:t>
            </w:r>
            <w:r w:rsidR="00374D95"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  <w:r w:rsidRPr="00374D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00</w:t>
            </w:r>
          </w:p>
        </w:tc>
      </w:tr>
    </w:tbl>
    <w:p w14:paraId="203AB49A" w14:textId="77777777" w:rsidR="00437585" w:rsidRPr="0014267B" w:rsidRDefault="00437585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072F2A13" w14:textId="77777777" w:rsidR="00E83451" w:rsidRDefault="00E83451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376DE23C" w14:textId="3BAA1630" w:rsidR="00DD3855" w:rsidRPr="00CB2632" w:rsidRDefault="008A0BE4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B2632">
        <w:rPr>
          <w:rFonts w:ascii="Times New Roman" w:hAnsi="Times New Roman" w:cs="Times New Roman"/>
          <w:color w:val="2D2D2D"/>
          <w:sz w:val="24"/>
          <w:szCs w:val="24"/>
        </w:rPr>
        <w:t>Conformance wi</w:t>
      </w:r>
      <w:r w:rsidR="00544977">
        <w:rPr>
          <w:rFonts w:ascii="Times New Roman" w:hAnsi="Times New Roman" w:cs="Times New Roman"/>
          <w:color w:val="2D2D2D"/>
          <w:sz w:val="24"/>
          <w:szCs w:val="24"/>
        </w:rPr>
        <w:t>th the International Group of P</w:t>
      </w:r>
      <w:r w:rsidRPr="00CB2632">
        <w:rPr>
          <w:rFonts w:ascii="Times New Roman" w:hAnsi="Times New Roman" w:cs="Times New Roman"/>
          <w:color w:val="2D2D2D"/>
          <w:sz w:val="24"/>
          <w:szCs w:val="24"/>
        </w:rPr>
        <w:t>&amp;</w:t>
      </w:r>
      <w:r w:rsidR="00544977">
        <w:rPr>
          <w:rFonts w:ascii="Times New Roman" w:hAnsi="Times New Roman" w:cs="Times New Roman"/>
          <w:color w:val="2D2D2D"/>
          <w:sz w:val="24"/>
          <w:szCs w:val="24"/>
        </w:rPr>
        <w:t>I</w:t>
      </w:r>
      <w:r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Club’s coverage guidelines is essential to our ability to respond to an international oil spill incident.  </w:t>
      </w:r>
      <w:r w:rsidR="00DD3855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Therefore, we have </w:t>
      </w:r>
      <w:r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worked </w:t>
      </w:r>
      <w:r w:rsidR="00305632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closely with </w:t>
      </w:r>
      <w:r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the IG Group to produce an </w:t>
      </w:r>
      <w:r w:rsidR="00305632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International </w:t>
      </w:r>
      <w:r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Amendment that not only conforms </w:t>
      </w:r>
      <w:r w:rsidR="00305632" w:rsidRPr="00CB2632">
        <w:rPr>
          <w:rFonts w:ascii="Times New Roman" w:hAnsi="Times New Roman" w:cs="Times New Roman"/>
          <w:color w:val="2D2D2D"/>
          <w:sz w:val="24"/>
          <w:szCs w:val="24"/>
        </w:rPr>
        <w:t>to</w:t>
      </w:r>
      <w:r w:rsidR="00DD3855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their </w:t>
      </w:r>
      <w:r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guidelines, but </w:t>
      </w:r>
      <w:r w:rsidR="00DD3855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provides us with the terms and conditions to respond to incidents in international </w:t>
      </w:r>
      <w:r w:rsidR="00DC1473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or foreign State </w:t>
      </w:r>
      <w:r w:rsidR="00DD3855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waters.  </w:t>
      </w:r>
      <w:r w:rsidR="00490DBC">
        <w:rPr>
          <w:rFonts w:ascii="Times New Roman" w:hAnsi="Times New Roman" w:cs="Times New Roman"/>
          <w:color w:val="2D2D2D"/>
          <w:sz w:val="24"/>
          <w:szCs w:val="24"/>
        </w:rPr>
        <w:t xml:space="preserve">Further, should NRC respond to </w:t>
      </w:r>
      <w:r w:rsidR="005021E9">
        <w:rPr>
          <w:rFonts w:ascii="Times New Roman" w:hAnsi="Times New Roman" w:cs="Times New Roman"/>
          <w:color w:val="2D2D2D"/>
          <w:sz w:val="24"/>
          <w:szCs w:val="24"/>
        </w:rPr>
        <w:t>a</w:t>
      </w:r>
      <w:r w:rsidR="00490DBC">
        <w:rPr>
          <w:rFonts w:ascii="Times New Roman" w:hAnsi="Times New Roman" w:cs="Times New Roman"/>
          <w:color w:val="2D2D2D"/>
          <w:sz w:val="24"/>
          <w:szCs w:val="24"/>
        </w:rPr>
        <w:t xml:space="preserve"> spill incident, our International Amendment gives us the framework to work directly with the </w:t>
      </w:r>
      <w:proofErr w:type="spellStart"/>
      <w:r w:rsidR="00490DBC">
        <w:rPr>
          <w:rFonts w:ascii="Times New Roman" w:hAnsi="Times New Roman" w:cs="Times New Roman"/>
          <w:color w:val="2D2D2D"/>
          <w:sz w:val="24"/>
          <w:szCs w:val="24"/>
        </w:rPr>
        <w:t>shipowner</w:t>
      </w:r>
      <w:proofErr w:type="spellEnd"/>
      <w:r w:rsidR="003C6343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r w:rsidR="00490DBC">
        <w:rPr>
          <w:rFonts w:ascii="Times New Roman" w:hAnsi="Times New Roman" w:cs="Times New Roman"/>
          <w:color w:val="2D2D2D"/>
          <w:sz w:val="24"/>
          <w:szCs w:val="24"/>
        </w:rPr>
        <w:t>your P&amp;I Club correspondent</w:t>
      </w:r>
      <w:r w:rsidR="003C6343">
        <w:rPr>
          <w:rFonts w:ascii="Times New Roman" w:hAnsi="Times New Roman" w:cs="Times New Roman"/>
          <w:color w:val="2D2D2D"/>
          <w:sz w:val="24"/>
          <w:szCs w:val="24"/>
        </w:rPr>
        <w:t>,</w:t>
      </w:r>
      <w:r w:rsidR="00010D5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90DBC">
        <w:rPr>
          <w:rFonts w:ascii="Times New Roman" w:hAnsi="Times New Roman" w:cs="Times New Roman"/>
          <w:color w:val="2D2D2D"/>
          <w:sz w:val="24"/>
          <w:szCs w:val="24"/>
        </w:rPr>
        <w:t xml:space="preserve">and </w:t>
      </w:r>
      <w:r w:rsidR="00010D55">
        <w:rPr>
          <w:rFonts w:ascii="Times New Roman" w:hAnsi="Times New Roman" w:cs="Times New Roman"/>
          <w:color w:val="2D2D2D"/>
          <w:sz w:val="24"/>
          <w:szCs w:val="24"/>
        </w:rPr>
        <w:t xml:space="preserve">with </w:t>
      </w:r>
      <w:r w:rsidR="00490DBC">
        <w:rPr>
          <w:rFonts w:ascii="Times New Roman" w:hAnsi="Times New Roman" w:cs="Times New Roman"/>
          <w:color w:val="2D2D2D"/>
          <w:sz w:val="24"/>
          <w:szCs w:val="24"/>
        </w:rPr>
        <w:t xml:space="preserve">local regulatory authorities.  </w:t>
      </w:r>
      <w:r w:rsidR="00291505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14:paraId="0D8CEEA4" w14:textId="77777777" w:rsidR="00DD3855" w:rsidRPr="00CB2632" w:rsidRDefault="00DD3855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72ABD10F" w14:textId="3A38DE55" w:rsidR="005E0A67" w:rsidRPr="00CB2632" w:rsidRDefault="008A0BE4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NRC’s 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Global Response Services </w:t>
      </w:r>
      <w:r w:rsidR="005E0A67" w:rsidRPr="00CB2632">
        <w:rPr>
          <w:rFonts w:ascii="Times New Roman" w:hAnsi="Times New Roman" w:cs="Times New Roman"/>
          <w:color w:val="2D2D2D"/>
          <w:sz w:val="24"/>
          <w:szCs w:val="24"/>
        </w:rPr>
        <w:t>are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delivered through our international network currently operating in </w:t>
      </w:r>
      <w:r w:rsidR="005021E9" w:rsidRPr="00CB2632">
        <w:rPr>
          <w:rFonts w:ascii="Times New Roman" w:hAnsi="Times New Roman" w:cs="Times New Roman"/>
          <w:color w:val="2D2D2D"/>
          <w:sz w:val="24"/>
          <w:szCs w:val="24"/>
        </w:rPr>
        <w:t>1</w:t>
      </w:r>
      <w:r w:rsidR="005021E9">
        <w:rPr>
          <w:rFonts w:ascii="Times New Roman" w:hAnsi="Times New Roman" w:cs="Times New Roman"/>
          <w:color w:val="2D2D2D"/>
          <w:sz w:val="24"/>
          <w:szCs w:val="24"/>
        </w:rPr>
        <w:t>4</w:t>
      </w:r>
      <w:r w:rsidR="005021E9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countries with strategically positioned response equipment and aerial dispersants </w:t>
      </w:r>
      <w:r w:rsidR="008D4F8D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that 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are ready to be deployed from our global Tier 1, </w:t>
      </w:r>
      <w:r w:rsidR="008D4F8D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Tier 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2, and </w:t>
      </w:r>
      <w:r w:rsidR="008D4F8D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Tier 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3 </w:t>
      </w:r>
      <w:r w:rsidR="008D4F8D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response 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bases.  </w:t>
      </w:r>
      <w:r w:rsidR="005E0A67" w:rsidRPr="00CB2632">
        <w:rPr>
          <w:rFonts w:ascii="Times New Roman" w:hAnsi="Times New Roman" w:cs="Times New Roman"/>
          <w:color w:val="2D2D2D"/>
          <w:sz w:val="24"/>
          <w:szCs w:val="24"/>
        </w:rPr>
        <w:t>When an incident occurs, our response teams can be airborne within hours</w:t>
      </w:r>
      <w:r w:rsidR="00F91CC0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of notification of an incident</w:t>
      </w:r>
      <w:r w:rsidR="0014267B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.  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NRC’s experts and </w:t>
      </w:r>
      <w:r w:rsidR="00F16340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highly 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trained response </w:t>
      </w:r>
      <w:r w:rsidR="00F16340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personnel 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are ready to </w:t>
      </w:r>
      <w:r w:rsidR="0014267B" w:rsidRPr="00CB2632">
        <w:rPr>
          <w:rFonts w:ascii="Times New Roman" w:hAnsi="Times New Roman" w:cs="Times New Roman"/>
          <w:color w:val="2D2D2D"/>
          <w:sz w:val="24"/>
          <w:szCs w:val="24"/>
        </w:rPr>
        <w:t>respond to</w:t>
      </w:r>
      <w:r w:rsidR="00F16340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an international oil spill incident.</w:t>
      </w:r>
    </w:p>
    <w:p w14:paraId="4480113A" w14:textId="77777777" w:rsidR="000D30B8" w:rsidRPr="00CB2632" w:rsidRDefault="000D30B8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0021C3C1" w14:textId="10B4F984" w:rsidR="0057175A" w:rsidRPr="00CB2632" w:rsidRDefault="0014267B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The </w:t>
      </w:r>
      <w:r w:rsidR="00DD3855" w:rsidRPr="00CB2632">
        <w:rPr>
          <w:rFonts w:ascii="Times New Roman" w:hAnsi="Times New Roman" w:cs="Times New Roman"/>
          <w:color w:val="2D2D2D"/>
          <w:sz w:val="24"/>
          <w:szCs w:val="24"/>
        </w:rPr>
        <w:t>GRS service</w:t>
      </w:r>
      <w:r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fee</w:t>
      </w:r>
      <w:r w:rsidR="00DD3855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will provide your vessels with 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access to NRC’s </w:t>
      </w:r>
      <w:r w:rsidR="00465A09">
        <w:rPr>
          <w:rFonts w:ascii="Times New Roman" w:hAnsi="Times New Roman" w:cs="Times New Roman"/>
          <w:color w:val="2D2D2D"/>
          <w:sz w:val="24"/>
          <w:szCs w:val="24"/>
        </w:rPr>
        <w:t xml:space="preserve">dedicated </w:t>
      </w:r>
      <w:r w:rsidR="005021E9">
        <w:rPr>
          <w:rFonts w:ascii="Times New Roman" w:hAnsi="Times New Roman" w:cs="Times New Roman"/>
          <w:color w:val="2D2D2D"/>
          <w:sz w:val="24"/>
          <w:szCs w:val="24"/>
        </w:rPr>
        <w:t>i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>nternational Tier 3 response bases strategically placed in the USA, UK</w:t>
      </w:r>
      <w:r w:rsidR="008952EA">
        <w:rPr>
          <w:rFonts w:ascii="Times New Roman" w:hAnsi="Times New Roman" w:cs="Times New Roman"/>
          <w:color w:val="2D2D2D"/>
          <w:sz w:val="24"/>
          <w:szCs w:val="24"/>
        </w:rPr>
        <w:t>,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and UAE stocked with pre-identified </w:t>
      </w:r>
      <w:r w:rsidR="005021E9">
        <w:rPr>
          <w:rFonts w:ascii="Times New Roman" w:hAnsi="Times New Roman" w:cs="Times New Roman"/>
          <w:color w:val="2D2D2D"/>
          <w:sz w:val="24"/>
          <w:szCs w:val="24"/>
        </w:rPr>
        <w:t>s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horeline and </w:t>
      </w:r>
      <w:r w:rsidR="005021E9">
        <w:rPr>
          <w:rFonts w:ascii="Times New Roman" w:hAnsi="Times New Roman" w:cs="Times New Roman"/>
          <w:color w:val="2D2D2D"/>
          <w:sz w:val="24"/>
          <w:szCs w:val="24"/>
        </w:rPr>
        <w:t>o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ffshore equipment ready to deploy to a global emergency including flyaway packages on scheduled or chartered aircraft, or sealift packages for less immediate response incidents.  Our aerial dispersant program includes pre-positioned aircraft </w:t>
      </w:r>
      <w:r w:rsidR="003C6343">
        <w:rPr>
          <w:rFonts w:ascii="Times New Roman" w:hAnsi="Times New Roman" w:cs="Times New Roman"/>
          <w:color w:val="2D2D2D"/>
          <w:sz w:val="24"/>
          <w:szCs w:val="24"/>
        </w:rPr>
        <w:t xml:space="preserve">in the U.S. 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>with dispersant stockpiles str</w:t>
      </w:r>
      <w:r w:rsidR="00374D95">
        <w:rPr>
          <w:rFonts w:ascii="Times New Roman" w:hAnsi="Times New Roman" w:cs="Times New Roman"/>
          <w:color w:val="2D2D2D"/>
          <w:sz w:val="24"/>
          <w:szCs w:val="24"/>
        </w:rPr>
        <w:t xml:space="preserve">ategically located in Scotland, </w:t>
      </w:r>
      <w:r w:rsidR="00E22A1F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Dubai and the USA. </w:t>
      </w:r>
      <w:r w:rsidR="00DD3855" w:rsidRPr="00CB2632">
        <w:rPr>
          <w:rFonts w:ascii="Times New Roman" w:hAnsi="Times New Roman" w:cs="Times New Roman"/>
          <w:color w:val="2D2D2D"/>
          <w:sz w:val="24"/>
          <w:szCs w:val="24"/>
        </w:rPr>
        <w:t>We can also cascade additional resources if required and serve as the central client contact, coordinating and deploying equipment and personnel where needed.</w:t>
      </w:r>
    </w:p>
    <w:p w14:paraId="2A5F62E2" w14:textId="77777777" w:rsidR="00954986" w:rsidRPr="00CB2632" w:rsidRDefault="00954986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2861528B" w14:textId="77777777" w:rsidR="00437585" w:rsidRPr="00CB2632" w:rsidRDefault="00465A09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While this is a non-</w:t>
      </w:r>
      <w:r w:rsidR="00490DBC">
        <w:rPr>
          <w:rFonts w:ascii="Times New Roman" w:hAnsi="Times New Roman" w:cs="Times New Roman"/>
          <w:color w:val="2D2D2D"/>
          <w:sz w:val="24"/>
          <w:szCs w:val="24"/>
        </w:rPr>
        <w:t>compulsory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program, </w:t>
      </w:r>
      <w:r w:rsidR="00490DBC">
        <w:rPr>
          <w:rFonts w:ascii="Times New Roman" w:hAnsi="Times New Roman" w:cs="Times New Roman"/>
          <w:color w:val="2D2D2D"/>
          <w:sz w:val="24"/>
          <w:szCs w:val="24"/>
        </w:rPr>
        <w:t>a</w:t>
      </w:r>
      <w:r w:rsidR="00490DBC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ccess </w:t>
      </w:r>
      <w:r w:rsidR="00F91CC0" w:rsidRPr="00CB2632">
        <w:rPr>
          <w:rFonts w:ascii="Times New Roman" w:hAnsi="Times New Roman" w:cs="Times New Roman"/>
          <w:color w:val="2D2D2D"/>
          <w:sz w:val="24"/>
          <w:szCs w:val="24"/>
        </w:rPr>
        <w:t>to o</w:t>
      </w:r>
      <w:r w:rsidR="00437585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ur </w:t>
      </w:r>
      <w:r w:rsidR="00F91CC0" w:rsidRPr="00CB2632">
        <w:rPr>
          <w:rFonts w:ascii="Times New Roman" w:hAnsi="Times New Roman" w:cs="Times New Roman"/>
          <w:color w:val="2D2D2D"/>
          <w:sz w:val="24"/>
          <w:szCs w:val="24"/>
        </w:rPr>
        <w:t>GRS response</w:t>
      </w:r>
      <w:r w:rsidR="00437585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centers</w:t>
      </w:r>
      <w:r w:rsidR="00F91CC0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will provide your fleet</w:t>
      </w:r>
      <w:r w:rsidR="00490DBC">
        <w:rPr>
          <w:rFonts w:ascii="Times New Roman" w:hAnsi="Times New Roman" w:cs="Times New Roman"/>
          <w:color w:val="2D2D2D"/>
          <w:sz w:val="24"/>
          <w:szCs w:val="24"/>
        </w:rPr>
        <w:t xml:space="preserve"> with </w:t>
      </w:r>
      <w:r w:rsidR="00F91CC0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a cost effective and proven global response capability with experts that are ready to </w:t>
      </w:r>
      <w:r w:rsidR="00437585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respond </w:t>
      </w:r>
      <w:r w:rsidR="00F91CC0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on your behalf </w:t>
      </w:r>
      <w:r w:rsidR="00437585" w:rsidRPr="00CB2632">
        <w:rPr>
          <w:rFonts w:ascii="Times New Roman" w:hAnsi="Times New Roman" w:cs="Times New Roman"/>
          <w:color w:val="2D2D2D"/>
          <w:sz w:val="24"/>
          <w:szCs w:val="24"/>
        </w:rPr>
        <w:t>anywhere in the world to</w:t>
      </w:r>
      <w:r w:rsidR="00490DBC">
        <w:rPr>
          <w:rFonts w:ascii="Times New Roman" w:hAnsi="Times New Roman" w:cs="Times New Roman"/>
          <w:color w:val="2D2D2D"/>
          <w:sz w:val="24"/>
          <w:szCs w:val="24"/>
        </w:rPr>
        <w:t xml:space="preserve"> minimize your risk and</w:t>
      </w:r>
      <w:r w:rsidR="00437585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manage and mitigate any </w:t>
      </w:r>
      <w:r w:rsidR="005021E9">
        <w:rPr>
          <w:rFonts w:ascii="Times New Roman" w:hAnsi="Times New Roman" w:cs="Times New Roman"/>
          <w:color w:val="2D2D2D"/>
          <w:sz w:val="24"/>
          <w:szCs w:val="24"/>
        </w:rPr>
        <w:t>response</w:t>
      </w:r>
      <w:r w:rsidR="00437585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37585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91CC0" w:rsidRPr="00CB263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14:paraId="38A86993" w14:textId="77777777" w:rsidR="0057175A" w:rsidRPr="00CB2632" w:rsidRDefault="0057175A" w:rsidP="00B01BA1">
      <w:pPr>
        <w:spacing w:before="0"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2FE70664" w14:textId="77777777" w:rsidR="00D378D9" w:rsidRPr="00CB2632" w:rsidRDefault="00407B85" w:rsidP="00B01BA1">
      <w:pPr>
        <w:spacing w:before="0" w:after="0"/>
        <w:jc w:val="both"/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</w:pPr>
      <w:r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>If you have any questions on the above or attached documents, p</w:t>
      </w:r>
      <w:r w:rsidR="00D378D9"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 xml:space="preserve">lease contact </w:t>
      </w:r>
      <w:r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 xml:space="preserve">NRC’s </w:t>
      </w:r>
      <w:r w:rsidR="00D378D9"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>Client Services</w:t>
      </w:r>
      <w:r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 xml:space="preserve"> Department </w:t>
      </w:r>
      <w:r w:rsidR="00D378D9"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 xml:space="preserve">at </w:t>
      </w:r>
      <w:hyperlink r:id="rId12" w:history="1">
        <w:r w:rsidRPr="00CB2632">
          <w:rPr>
            <w:rStyle w:val="Hyperlink"/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clientservices@nrcc.com</w:t>
        </w:r>
      </w:hyperlink>
      <w:r w:rsidRPr="00CB2632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 </w:t>
      </w:r>
      <w:r w:rsidR="00714082" w:rsidRPr="00CB2632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 </w:t>
      </w:r>
      <w:r w:rsidR="00D378D9"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 xml:space="preserve">or via telephone at </w:t>
      </w:r>
      <w:r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>+1 (</w:t>
      </w:r>
      <w:r w:rsidR="00D378D9"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>631</w:t>
      </w:r>
      <w:r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>)</w:t>
      </w:r>
      <w:r w:rsidR="00D378D9"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 xml:space="preserve"> 224-9141.  </w:t>
      </w:r>
    </w:p>
    <w:p w14:paraId="4CED09F0" w14:textId="77777777" w:rsidR="002168C6" w:rsidRPr="00CB2632" w:rsidRDefault="002168C6" w:rsidP="00B01BA1">
      <w:pPr>
        <w:spacing w:before="0" w:after="0"/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</w:pPr>
    </w:p>
    <w:p w14:paraId="3CA30D56" w14:textId="77777777" w:rsidR="00D378D9" w:rsidRPr="00CB2632" w:rsidRDefault="002168C6" w:rsidP="00B01BA1">
      <w:pPr>
        <w:spacing w:before="0" w:after="0"/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</w:pPr>
      <w:r w:rsidRPr="00CB2632">
        <w:rPr>
          <w:rFonts w:ascii="Times New Roman" w:eastAsiaTheme="minorHAnsi" w:hAnsi="Times New Roman" w:cs="Times New Roman"/>
          <w:noProof/>
          <w:color w:val="505050"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4C933CB" wp14:editId="25D4B67C">
            <wp:simplePos x="0" y="0"/>
            <wp:positionH relativeFrom="margin">
              <wp:posOffset>0</wp:posOffset>
            </wp:positionH>
            <wp:positionV relativeFrom="paragraph">
              <wp:posOffset>68844</wp:posOffset>
            </wp:positionV>
            <wp:extent cx="1743075" cy="485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D9"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>Sincerely,</w:t>
      </w:r>
    </w:p>
    <w:p w14:paraId="56436B37" w14:textId="77777777" w:rsidR="00D378D9" w:rsidRPr="00CB2632" w:rsidRDefault="00D378D9" w:rsidP="002168C6">
      <w:pPr>
        <w:pStyle w:val="NoSpacing"/>
        <w:spacing w:before="0"/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</w:pPr>
    </w:p>
    <w:p w14:paraId="7375080D" w14:textId="77777777" w:rsidR="00D378D9" w:rsidRPr="00CB2632" w:rsidRDefault="00D378D9" w:rsidP="002168C6">
      <w:pPr>
        <w:spacing w:before="0" w:after="0" w:line="240" w:lineRule="auto"/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</w:pPr>
    </w:p>
    <w:p w14:paraId="6BC2CA37" w14:textId="77777777" w:rsidR="00210693" w:rsidRPr="00CB2632" w:rsidRDefault="00210693" w:rsidP="002168C6">
      <w:pPr>
        <w:pStyle w:val="NoSpacing"/>
        <w:spacing w:before="0"/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</w:pPr>
    </w:p>
    <w:p w14:paraId="2AD4849C" w14:textId="77777777" w:rsidR="00863324" w:rsidRPr="00CB2632" w:rsidRDefault="00863324" w:rsidP="00863324">
      <w:pPr>
        <w:spacing w:before="0" w:after="0"/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</w:pPr>
      <w:r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 xml:space="preserve">Michael Reese </w:t>
      </w:r>
    </w:p>
    <w:p w14:paraId="35F02C6A" w14:textId="77777777" w:rsidR="00D378D9" w:rsidRPr="00CB2632" w:rsidRDefault="00D378D9" w:rsidP="00863324">
      <w:pPr>
        <w:pStyle w:val="NoSpacing"/>
        <w:spacing w:before="0"/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</w:pPr>
      <w:r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>Senior Vice President</w:t>
      </w:r>
    </w:p>
    <w:p w14:paraId="59E4ACE2" w14:textId="77777777" w:rsidR="00E83451" w:rsidRPr="00CB2632" w:rsidRDefault="00E83451" w:rsidP="00863324">
      <w:pPr>
        <w:pStyle w:val="NoSpacing"/>
        <w:spacing w:before="0"/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</w:pPr>
      <w:r w:rsidRPr="00CB2632">
        <w:rPr>
          <w:rFonts w:ascii="Times New Roman" w:eastAsiaTheme="minorHAnsi" w:hAnsi="Times New Roman" w:cs="Times New Roman"/>
          <w:color w:val="505050"/>
          <w:sz w:val="24"/>
          <w:szCs w:val="24"/>
          <w:lang w:eastAsia="en-US"/>
        </w:rPr>
        <w:t>National Response Corporation (NRC)</w:t>
      </w:r>
    </w:p>
    <w:sectPr w:rsidR="00E83451" w:rsidRPr="00CB2632" w:rsidSect="00E83451">
      <w:headerReference w:type="default" r:id="rId14"/>
      <w:pgSz w:w="12240" w:h="15840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014F9" w14:textId="77777777" w:rsidR="00D65B56" w:rsidRDefault="00D65B56">
      <w:pPr>
        <w:spacing w:after="0" w:line="240" w:lineRule="auto"/>
      </w:pPr>
      <w:r>
        <w:separator/>
      </w:r>
    </w:p>
  </w:endnote>
  <w:endnote w:type="continuationSeparator" w:id="0">
    <w:p w14:paraId="60273BE4" w14:textId="77777777" w:rsidR="00D65B56" w:rsidRDefault="00D6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Times New Roman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l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9119B" w14:textId="77777777" w:rsidR="00D65B56" w:rsidRDefault="00D65B56">
      <w:pPr>
        <w:spacing w:after="0" w:line="240" w:lineRule="auto"/>
      </w:pPr>
      <w:r>
        <w:separator/>
      </w:r>
    </w:p>
  </w:footnote>
  <w:footnote w:type="continuationSeparator" w:id="0">
    <w:p w14:paraId="5691C85D" w14:textId="77777777" w:rsidR="00D65B56" w:rsidRDefault="00D6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E7A42" w14:textId="77777777" w:rsidR="005021E9" w:rsidRDefault="005021E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27852EB" wp14:editId="5D11BC57">
          <wp:simplePos x="0" y="0"/>
          <wp:positionH relativeFrom="page">
            <wp:posOffset>15766</wp:posOffset>
          </wp:positionH>
          <wp:positionV relativeFrom="page">
            <wp:align>top</wp:align>
          </wp:positionV>
          <wp:extent cx="7772400" cy="10061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57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AE0"/>
    <w:multiLevelType w:val="hybridMultilevel"/>
    <w:tmpl w:val="C27A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5C3"/>
    <w:multiLevelType w:val="hybridMultilevel"/>
    <w:tmpl w:val="3806B3DC"/>
    <w:lvl w:ilvl="0" w:tplc="A88EEE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81A"/>
    <w:multiLevelType w:val="hybridMultilevel"/>
    <w:tmpl w:val="5CE2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77EB9"/>
    <w:multiLevelType w:val="hybridMultilevel"/>
    <w:tmpl w:val="BE9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61C1E"/>
    <w:multiLevelType w:val="hybridMultilevel"/>
    <w:tmpl w:val="0548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CA7"/>
    <w:multiLevelType w:val="hybridMultilevel"/>
    <w:tmpl w:val="84FE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B10FD6"/>
    <w:multiLevelType w:val="hybridMultilevel"/>
    <w:tmpl w:val="5606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14B46"/>
    <w:multiLevelType w:val="hybridMultilevel"/>
    <w:tmpl w:val="11D4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1FB4"/>
    <w:multiLevelType w:val="hybridMultilevel"/>
    <w:tmpl w:val="3E3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51C8C"/>
    <w:multiLevelType w:val="hybridMultilevel"/>
    <w:tmpl w:val="D04EC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2D"/>
    <w:rsid w:val="00010483"/>
    <w:rsid w:val="00010D55"/>
    <w:rsid w:val="00024B64"/>
    <w:rsid w:val="0003360A"/>
    <w:rsid w:val="00051374"/>
    <w:rsid w:val="00052220"/>
    <w:rsid w:val="000526D1"/>
    <w:rsid w:val="000823D9"/>
    <w:rsid w:val="000958DF"/>
    <w:rsid w:val="000C4095"/>
    <w:rsid w:val="000C59B1"/>
    <w:rsid w:val="000C5DF8"/>
    <w:rsid w:val="000D30B8"/>
    <w:rsid w:val="000F06D2"/>
    <w:rsid w:val="001011FE"/>
    <w:rsid w:val="0010557A"/>
    <w:rsid w:val="00105848"/>
    <w:rsid w:val="00116C31"/>
    <w:rsid w:val="0014267B"/>
    <w:rsid w:val="001A32B0"/>
    <w:rsid w:val="001A5CE3"/>
    <w:rsid w:val="001C58BE"/>
    <w:rsid w:val="001D1892"/>
    <w:rsid w:val="00210693"/>
    <w:rsid w:val="002168C6"/>
    <w:rsid w:val="00240C1D"/>
    <w:rsid w:val="0025698C"/>
    <w:rsid w:val="00261B36"/>
    <w:rsid w:val="00262378"/>
    <w:rsid w:val="0027291C"/>
    <w:rsid w:val="00291505"/>
    <w:rsid w:val="002B727C"/>
    <w:rsid w:val="002C5D79"/>
    <w:rsid w:val="002D394A"/>
    <w:rsid w:val="0030140F"/>
    <w:rsid w:val="00305632"/>
    <w:rsid w:val="003160CA"/>
    <w:rsid w:val="00331FBA"/>
    <w:rsid w:val="003338EC"/>
    <w:rsid w:val="00353B47"/>
    <w:rsid w:val="00353E40"/>
    <w:rsid w:val="0036446C"/>
    <w:rsid w:val="0036488E"/>
    <w:rsid w:val="00374D95"/>
    <w:rsid w:val="0039061A"/>
    <w:rsid w:val="003B4504"/>
    <w:rsid w:val="003C6343"/>
    <w:rsid w:val="003D2520"/>
    <w:rsid w:val="00407B85"/>
    <w:rsid w:val="00437585"/>
    <w:rsid w:val="00465A09"/>
    <w:rsid w:val="0046704B"/>
    <w:rsid w:val="00490DBC"/>
    <w:rsid w:val="004A7FF1"/>
    <w:rsid w:val="004B1875"/>
    <w:rsid w:val="004D37B0"/>
    <w:rsid w:val="004E547E"/>
    <w:rsid w:val="005021E9"/>
    <w:rsid w:val="0050350C"/>
    <w:rsid w:val="00505E8E"/>
    <w:rsid w:val="00520308"/>
    <w:rsid w:val="00544977"/>
    <w:rsid w:val="0057175A"/>
    <w:rsid w:val="00572A44"/>
    <w:rsid w:val="0058561A"/>
    <w:rsid w:val="00586AFD"/>
    <w:rsid w:val="005E0A67"/>
    <w:rsid w:val="00643C9C"/>
    <w:rsid w:val="00645FD2"/>
    <w:rsid w:val="00670283"/>
    <w:rsid w:val="006A203B"/>
    <w:rsid w:val="006B3DEA"/>
    <w:rsid w:val="006C7314"/>
    <w:rsid w:val="006C73F8"/>
    <w:rsid w:val="006D6BD0"/>
    <w:rsid w:val="006F3AD8"/>
    <w:rsid w:val="00714082"/>
    <w:rsid w:val="00723D80"/>
    <w:rsid w:val="007420B9"/>
    <w:rsid w:val="007D0989"/>
    <w:rsid w:val="007D3780"/>
    <w:rsid w:val="007D7447"/>
    <w:rsid w:val="007E4429"/>
    <w:rsid w:val="00811A57"/>
    <w:rsid w:val="00811FD0"/>
    <w:rsid w:val="00817DD8"/>
    <w:rsid w:val="00821021"/>
    <w:rsid w:val="0082666A"/>
    <w:rsid w:val="008274EC"/>
    <w:rsid w:val="008505C1"/>
    <w:rsid w:val="0086134B"/>
    <w:rsid w:val="00863324"/>
    <w:rsid w:val="008738E7"/>
    <w:rsid w:val="008820C5"/>
    <w:rsid w:val="00887B2D"/>
    <w:rsid w:val="008952EA"/>
    <w:rsid w:val="008A0BE4"/>
    <w:rsid w:val="008D4F8D"/>
    <w:rsid w:val="00915D39"/>
    <w:rsid w:val="00943587"/>
    <w:rsid w:val="00954986"/>
    <w:rsid w:val="00965392"/>
    <w:rsid w:val="00973A96"/>
    <w:rsid w:val="00983EEA"/>
    <w:rsid w:val="0099121B"/>
    <w:rsid w:val="009964C0"/>
    <w:rsid w:val="009B3C10"/>
    <w:rsid w:val="009C3E22"/>
    <w:rsid w:val="009D112E"/>
    <w:rsid w:val="009E147B"/>
    <w:rsid w:val="00A12818"/>
    <w:rsid w:val="00A4317D"/>
    <w:rsid w:val="00A532CA"/>
    <w:rsid w:val="00A93E43"/>
    <w:rsid w:val="00AA6A84"/>
    <w:rsid w:val="00AB3188"/>
    <w:rsid w:val="00AC33BB"/>
    <w:rsid w:val="00AC51F4"/>
    <w:rsid w:val="00AC5584"/>
    <w:rsid w:val="00AD2947"/>
    <w:rsid w:val="00B01BA1"/>
    <w:rsid w:val="00B10379"/>
    <w:rsid w:val="00B12C40"/>
    <w:rsid w:val="00B17373"/>
    <w:rsid w:val="00B1796D"/>
    <w:rsid w:val="00B33623"/>
    <w:rsid w:val="00B55575"/>
    <w:rsid w:val="00B7022E"/>
    <w:rsid w:val="00BB52B0"/>
    <w:rsid w:val="00BC2256"/>
    <w:rsid w:val="00BF48A9"/>
    <w:rsid w:val="00C0517F"/>
    <w:rsid w:val="00C7247B"/>
    <w:rsid w:val="00C82DC1"/>
    <w:rsid w:val="00C87225"/>
    <w:rsid w:val="00CA5665"/>
    <w:rsid w:val="00CB23EC"/>
    <w:rsid w:val="00CB2632"/>
    <w:rsid w:val="00CC1D01"/>
    <w:rsid w:val="00CE321F"/>
    <w:rsid w:val="00CF3EA9"/>
    <w:rsid w:val="00CF6948"/>
    <w:rsid w:val="00D20C9E"/>
    <w:rsid w:val="00D378D9"/>
    <w:rsid w:val="00D464E1"/>
    <w:rsid w:val="00D65B56"/>
    <w:rsid w:val="00D864CF"/>
    <w:rsid w:val="00DB552C"/>
    <w:rsid w:val="00DC1473"/>
    <w:rsid w:val="00DD3855"/>
    <w:rsid w:val="00DD5B28"/>
    <w:rsid w:val="00DF2147"/>
    <w:rsid w:val="00E22A1F"/>
    <w:rsid w:val="00E74F58"/>
    <w:rsid w:val="00E83451"/>
    <w:rsid w:val="00E8495A"/>
    <w:rsid w:val="00E9307F"/>
    <w:rsid w:val="00ED4BF8"/>
    <w:rsid w:val="00F01F8F"/>
    <w:rsid w:val="00F07D1C"/>
    <w:rsid w:val="00F16340"/>
    <w:rsid w:val="00F206F0"/>
    <w:rsid w:val="00F31CCE"/>
    <w:rsid w:val="00F338B3"/>
    <w:rsid w:val="00F9045E"/>
    <w:rsid w:val="00F91CC0"/>
    <w:rsid w:val="00FB6F78"/>
    <w:rsid w:val="00FC430C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A83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82B1E4" w:themeColor="text2"/>
        <w:left w:val="single" w:sz="24" w:space="0" w:color="82B1E4" w:themeColor="text2"/>
        <w:bottom w:val="single" w:sz="24" w:space="0" w:color="82B1E4" w:themeColor="text2"/>
        <w:right w:val="single" w:sz="24" w:space="0" w:color="82B1E4" w:themeColor="text2"/>
      </w:pBdr>
      <w:shd w:val="clear" w:color="auto" w:fill="82B1E4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E5EFF9" w:themeColor="text2" w:themeTint="33"/>
        <w:left w:val="single" w:sz="24" w:space="0" w:color="E5EFF9" w:themeColor="text2" w:themeTint="33"/>
        <w:bottom w:val="single" w:sz="24" w:space="0" w:color="E5EFF9" w:themeColor="text2" w:themeTint="33"/>
        <w:right w:val="single" w:sz="24" w:space="0" w:color="E5EFF9" w:themeColor="text2" w:themeTint="33"/>
      </w:pBdr>
      <w:shd w:val="clear" w:color="auto" w:fill="E5EFF9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82B1E4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205793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82B1E4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82B1E4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82B1E4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82B1E4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E5EFF9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205793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82B1E4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82B1E4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82B1E4" w:themeColor="text2"/>
    </w:rPr>
  </w:style>
  <w:style w:type="character" w:styleId="SubtleEmphasis">
    <w:name w:val="Subtle Emphasis"/>
    <w:uiPriority w:val="19"/>
    <w:qFormat/>
    <w:rPr>
      <w:i/>
      <w:iCs/>
      <w:color w:val="205793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205793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82B1E4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82B1E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882D4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82B1E4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87B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2D"/>
  </w:style>
  <w:style w:type="paragraph" w:styleId="Footer">
    <w:name w:val="footer"/>
    <w:basedOn w:val="Normal"/>
    <w:link w:val="FooterChar"/>
    <w:uiPriority w:val="99"/>
    <w:unhideWhenUsed/>
    <w:rsid w:val="00887B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2D"/>
  </w:style>
  <w:style w:type="paragraph" w:styleId="BodyText">
    <w:name w:val="Body Text"/>
    <w:basedOn w:val="Normal"/>
    <w:link w:val="BodyTextChar"/>
    <w:uiPriority w:val="99"/>
    <w:unhideWhenUsed/>
    <w:rsid w:val="0030140F"/>
    <w:pPr>
      <w:spacing w:before="0" w:after="0" w:line="240" w:lineRule="auto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0140F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53E40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40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973A96"/>
    <w:pPr>
      <w:spacing w:before="0"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73A96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DD5B2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C5DF8"/>
    <w:pPr>
      <w:spacing w:before="0" w:after="0" w:line="240" w:lineRule="auto"/>
    </w:pPr>
    <w:rPr>
      <w:rFonts w:ascii="Verdana" w:eastAsiaTheme="minorHAnsi" w:hAnsi="Verdana" w:cs="Times New Roman"/>
      <w:color w:val="000000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5DF8"/>
    <w:rPr>
      <w:rFonts w:ascii="Verdana" w:eastAsiaTheme="minorHAnsi" w:hAnsi="Verdana" w:cs="Times New Roman"/>
      <w:color w:val="000000"/>
      <w:sz w:val="18"/>
      <w:szCs w:val="18"/>
      <w:lang w:eastAsia="en-US"/>
    </w:rPr>
  </w:style>
  <w:style w:type="paragraph" w:customStyle="1" w:styleId="wordsection1">
    <w:name w:val="wordsection1"/>
    <w:basedOn w:val="Normal"/>
    <w:rsid w:val="00572A4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13">
    <w:name w:val="s13"/>
    <w:basedOn w:val="Normal"/>
    <w:rsid w:val="00A1281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bumpedfont20">
    <w:name w:val="bumpedfont20"/>
    <w:basedOn w:val="DefaultParagraphFont"/>
    <w:rsid w:val="00A12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82B1E4" w:themeColor="text2"/>
        <w:left w:val="single" w:sz="24" w:space="0" w:color="82B1E4" w:themeColor="text2"/>
        <w:bottom w:val="single" w:sz="24" w:space="0" w:color="82B1E4" w:themeColor="text2"/>
        <w:right w:val="single" w:sz="24" w:space="0" w:color="82B1E4" w:themeColor="text2"/>
      </w:pBdr>
      <w:shd w:val="clear" w:color="auto" w:fill="82B1E4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E5EFF9" w:themeColor="text2" w:themeTint="33"/>
        <w:left w:val="single" w:sz="24" w:space="0" w:color="E5EFF9" w:themeColor="text2" w:themeTint="33"/>
        <w:bottom w:val="single" w:sz="24" w:space="0" w:color="E5EFF9" w:themeColor="text2" w:themeTint="33"/>
        <w:right w:val="single" w:sz="24" w:space="0" w:color="E5EFF9" w:themeColor="text2" w:themeTint="33"/>
      </w:pBdr>
      <w:shd w:val="clear" w:color="auto" w:fill="E5EFF9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82B1E4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205793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82B1E4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82B1E4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82B1E4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82B1E4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E5EFF9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205793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82B1E4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82B1E4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82B1E4" w:themeColor="text2"/>
    </w:rPr>
  </w:style>
  <w:style w:type="character" w:styleId="SubtleEmphasis">
    <w:name w:val="Subtle Emphasis"/>
    <w:uiPriority w:val="19"/>
    <w:qFormat/>
    <w:rPr>
      <w:i/>
      <w:iCs/>
      <w:color w:val="205793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205793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82B1E4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82B1E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3882D4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882D4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82B1E4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87B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2D"/>
  </w:style>
  <w:style w:type="paragraph" w:styleId="Footer">
    <w:name w:val="footer"/>
    <w:basedOn w:val="Normal"/>
    <w:link w:val="FooterChar"/>
    <w:uiPriority w:val="99"/>
    <w:unhideWhenUsed/>
    <w:rsid w:val="00887B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2D"/>
  </w:style>
  <w:style w:type="paragraph" w:styleId="BodyText">
    <w:name w:val="Body Text"/>
    <w:basedOn w:val="Normal"/>
    <w:link w:val="BodyTextChar"/>
    <w:uiPriority w:val="99"/>
    <w:unhideWhenUsed/>
    <w:rsid w:val="0030140F"/>
    <w:pPr>
      <w:spacing w:before="0" w:after="0" w:line="240" w:lineRule="auto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0140F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53E40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40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973A96"/>
    <w:pPr>
      <w:spacing w:before="0"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73A96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DD5B2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C5DF8"/>
    <w:pPr>
      <w:spacing w:before="0" w:after="0" w:line="240" w:lineRule="auto"/>
    </w:pPr>
    <w:rPr>
      <w:rFonts w:ascii="Verdana" w:eastAsiaTheme="minorHAnsi" w:hAnsi="Verdana" w:cs="Times New Roman"/>
      <w:color w:val="000000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5DF8"/>
    <w:rPr>
      <w:rFonts w:ascii="Verdana" w:eastAsiaTheme="minorHAnsi" w:hAnsi="Verdana" w:cs="Times New Roman"/>
      <w:color w:val="000000"/>
      <w:sz w:val="18"/>
      <w:szCs w:val="18"/>
      <w:lang w:eastAsia="en-US"/>
    </w:rPr>
  </w:style>
  <w:style w:type="paragraph" w:customStyle="1" w:styleId="wordsection1">
    <w:name w:val="wordsection1"/>
    <w:basedOn w:val="Normal"/>
    <w:rsid w:val="00572A4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13">
    <w:name w:val="s13"/>
    <w:basedOn w:val="Normal"/>
    <w:rsid w:val="00A1281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bumpedfont20">
    <w:name w:val="bumpedfont20"/>
    <w:basedOn w:val="DefaultParagraphFont"/>
    <w:rsid w:val="00A1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40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305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8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69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8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4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5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9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lientservices@nrc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CK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Custom 2">
      <a:dk1>
        <a:sysClr val="windowText" lastClr="000000"/>
      </a:dk1>
      <a:lt1>
        <a:sysClr val="window" lastClr="FFFFFF"/>
      </a:lt1>
      <a:dk2>
        <a:srgbClr val="82B1E4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02E7E3CF-4657-4E7A-B005-EB825236FE0C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1B36E6-4EFA-42CF-BC86-CBD62567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97090-65A8-47BD-9427-B3AAFAC28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B4808-2874-443C-9FDF-CF500033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2</Pages>
  <Words>730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Wick, Deborah</dc:creator>
  <cp:lastModifiedBy>Emilie Thompson</cp:lastModifiedBy>
  <cp:revision>2</cp:revision>
  <cp:lastPrinted>2016-12-30T15:36:00Z</cp:lastPrinted>
  <dcterms:created xsi:type="dcterms:W3CDTF">2017-01-25T13:13:00Z</dcterms:created>
  <dcterms:modified xsi:type="dcterms:W3CDTF">2017-01-25T13:13:00Z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